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B7" w:rsidRDefault="003A1BB7" w:rsidP="003A1BB7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Na osnovu člana 33.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Zakona o zadužbinama i fondacijama, kao i člana 6.</w:t>
      </w:r>
      <w:proofErr w:type="gramEnd"/>
      <w:r>
        <w:rPr>
          <w:rFonts w:asciiTheme="majorHAnsi" w:hAnsiTheme="majorHAnsi"/>
          <w:sz w:val="24"/>
          <w:szCs w:val="24"/>
        </w:rPr>
        <w:t xml:space="preserve"> Osnivačkog akta Ugovora o osnivanju, </w:t>
      </w:r>
      <w:r>
        <w:rPr>
          <w:rFonts w:asciiTheme="majorHAnsi" w:hAnsiTheme="majorHAnsi"/>
          <w:b/>
          <w:sz w:val="24"/>
          <w:szCs w:val="24"/>
        </w:rPr>
        <w:t>FONDACIJE „PODRŽI ŽIVOT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“ </w:t>
      </w:r>
      <w:r>
        <w:rPr>
          <w:rFonts w:asciiTheme="majorHAnsi" w:hAnsiTheme="majorHAnsi"/>
          <w:sz w:val="24"/>
          <w:szCs w:val="24"/>
        </w:rPr>
        <w:t>,</w:t>
      </w:r>
      <w:proofErr w:type="gramEnd"/>
      <w:r>
        <w:rPr>
          <w:rFonts w:asciiTheme="majorHAnsi" w:hAnsiTheme="majorHAnsi"/>
          <w:sz w:val="24"/>
          <w:szCs w:val="24"/>
        </w:rPr>
        <w:t xml:space="preserve"> osnivači donose i usvajaju:</w:t>
      </w:r>
    </w:p>
    <w:p w:rsidR="003A1BB7" w:rsidRDefault="003A1BB7" w:rsidP="003A1BB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STATUT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FONDACIJE „PODRŽI ŽIVOT“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1.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Ovim Statutom, u skladu </w:t>
      </w:r>
      <w:proofErr w:type="gramStart"/>
      <w:r>
        <w:rPr>
          <w:rFonts w:asciiTheme="majorHAnsi" w:hAnsiTheme="majorHAnsi"/>
          <w:sz w:val="24"/>
          <w:szCs w:val="24"/>
        </w:rPr>
        <w:t>sa</w:t>
      </w:r>
      <w:proofErr w:type="gramEnd"/>
      <w:r>
        <w:rPr>
          <w:rFonts w:asciiTheme="majorHAnsi" w:hAnsiTheme="majorHAnsi"/>
          <w:sz w:val="24"/>
          <w:szCs w:val="24"/>
        </w:rPr>
        <w:t xml:space="preserve"> Zakonom se uređuju pitanja organizacije, upravljanja i rada Fondacije „Podrži život“, a naročito:</w:t>
      </w:r>
    </w:p>
    <w:p w:rsidR="003A1BB7" w:rsidRDefault="003A1BB7" w:rsidP="003A1B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Naziv i sedište,</w:t>
      </w:r>
    </w:p>
    <w:p w:rsidR="003A1BB7" w:rsidRDefault="003A1BB7" w:rsidP="003A1B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Ciljevi i način njihovog ostvarivanja,</w:t>
      </w:r>
    </w:p>
    <w:p w:rsidR="003A1BB7" w:rsidRDefault="003A1BB7" w:rsidP="003A1B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 i njihova ovlašćenja,</w:t>
      </w:r>
    </w:p>
    <w:p w:rsidR="003A1BB7" w:rsidRDefault="003A1BB7" w:rsidP="003A1B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Zastupanje i predstavljanje,</w:t>
      </w:r>
    </w:p>
    <w:p w:rsidR="003A1BB7" w:rsidRDefault="003A1BB7" w:rsidP="003A1B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Sticanje, korišćenje i raspolaganje sredstvima,</w:t>
      </w:r>
    </w:p>
    <w:p w:rsidR="003A1BB7" w:rsidRDefault="003A1BB7" w:rsidP="003A1B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Način imenovanja i opozivanja članova Upravnog odbora,</w:t>
      </w:r>
    </w:p>
    <w:p w:rsidR="003A1BB7" w:rsidRDefault="003A1BB7" w:rsidP="003A1B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Način imenovanja i opozivanja Upravitelja i drugih organa,</w:t>
      </w:r>
    </w:p>
    <w:p w:rsidR="003A1BB7" w:rsidRDefault="003A1BB7" w:rsidP="003A1B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Trajanje mandata i način odlučivanja organa,</w:t>
      </w:r>
    </w:p>
    <w:p w:rsidR="003A1BB7" w:rsidRDefault="003A1BB7" w:rsidP="003A1B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Javnost rada Fondacije,</w:t>
      </w:r>
    </w:p>
    <w:p w:rsidR="003A1BB7" w:rsidRDefault="003A1BB7" w:rsidP="003A1B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Način donošenja i izmene i dopune Statuta,</w:t>
      </w:r>
    </w:p>
    <w:p w:rsidR="003A1BB7" w:rsidRDefault="003A1BB7" w:rsidP="003A1B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Način donošenja odluka o pripajanju, spajanju, podeli, promeni pravne forme ili prestanku rada,</w:t>
      </w:r>
    </w:p>
    <w:p w:rsidR="003A1BB7" w:rsidRDefault="003A1BB7" w:rsidP="003A1B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Način raspolaganja imovinom u slučaju prestanka rada,</w:t>
      </w:r>
    </w:p>
    <w:p w:rsidR="003A1BB7" w:rsidRDefault="003A1BB7" w:rsidP="003A1B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Simboli vizuelnog identiteta (naziv, pečat, amblem i dr.)</w:t>
      </w:r>
    </w:p>
    <w:p w:rsidR="003A1BB7" w:rsidRDefault="003A1BB7" w:rsidP="003A1B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Druga pitanja </w:t>
      </w:r>
      <w:proofErr w:type="gramStart"/>
      <w:r>
        <w:rPr>
          <w:rFonts w:asciiTheme="majorHAnsi" w:hAnsiTheme="majorHAnsi"/>
          <w:sz w:val="24"/>
          <w:szCs w:val="24"/>
        </w:rPr>
        <w:t>od</w:t>
      </w:r>
      <w:proofErr w:type="gramEnd"/>
      <w:r>
        <w:rPr>
          <w:rFonts w:asciiTheme="majorHAnsi" w:hAnsiTheme="majorHAnsi"/>
          <w:sz w:val="24"/>
          <w:szCs w:val="24"/>
        </w:rPr>
        <w:t xml:space="preserve"> značaja za rad same Fondacije.</w:t>
      </w:r>
    </w:p>
    <w:p w:rsidR="003A1BB7" w:rsidRDefault="003A1BB7" w:rsidP="003A1BB7">
      <w:pPr>
        <w:pStyle w:val="ListParagraph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A1BB7" w:rsidRDefault="003A1BB7" w:rsidP="003A1BB7">
      <w:pPr>
        <w:pStyle w:val="ListParagraph"/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2.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Fondacija „Podrži život</w:t>
      </w:r>
      <w:proofErr w:type="gramStart"/>
      <w:r>
        <w:rPr>
          <w:rFonts w:asciiTheme="majorHAnsi" w:hAnsiTheme="majorHAnsi"/>
          <w:sz w:val="24"/>
          <w:szCs w:val="24"/>
        </w:rPr>
        <w:t>“ je</w:t>
      </w:r>
      <w:proofErr w:type="gramEnd"/>
      <w:r>
        <w:rPr>
          <w:rFonts w:asciiTheme="majorHAnsi" w:hAnsiTheme="majorHAnsi"/>
          <w:sz w:val="24"/>
          <w:szCs w:val="24"/>
        </w:rPr>
        <w:t xml:space="preserve"> osnovana radi unapređenja socijalne i zdravstvene zaštite dece u Srbiji kroz humanitarne aktivnosti, podrške oboleloj deci i njihovim porodicama u cilju lečenja, medicinskog zbrinjavanja i oporavka, promovisanja i unapređenja sistema dečje zdravstvene zaštite.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Unutrašnja organizacija Fondacije, organi i način poslovanja bliže se utvrđuju odredbama ovog Statuta i posebnim pravilnicima Fondacije.</w:t>
      </w:r>
      <w:proofErr w:type="gramEnd"/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3.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Naziv Fondacije je „</w:t>
      </w:r>
      <w:r>
        <w:rPr>
          <w:rFonts w:asciiTheme="majorHAnsi" w:hAnsiTheme="majorHAnsi"/>
          <w:b/>
          <w:sz w:val="24"/>
          <w:szCs w:val="24"/>
        </w:rPr>
        <w:t xml:space="preserve">FONDACIJA PODRŽI ŽIVOT“, </w:t>
      </w:r>
      <w:r>
        <w:rPr>
          <w:rFonts w:asciiTheme="majorHAnsi" w:hAnsiTheme="majorHAnsi"/>
          <w:sz w:val="24"/>
          <w:szCs w:val="24"/>
        </w:rPr>
        <w:t xml:space="preserve">odnosno u ćiriličnom pismu </w:t>
      </w:r>
      <w:r>
        <w:rPr>
          <w:rFonts w:asciiTheme="majorHAnsi" w:hAnsiTheme="majorHAnsi"/>
          <w:b/>
          <w:sz w:val="24"/>
          <w:szCs w:val="24"/>
        </w:rPr>
        <w:t>„ФОНДАЦИЈА ПОДРЖИ ЖИВОТ“</w:t>
      </w:r>
      <w:r>
        <w:rPr>
          <w:rFonts w:asciiTheme="majorHAnsi" w:hAnsiTheme="majorHAnsi"/>
          <w:sz w:val="24"/>
          <w:szCs w:val="24"/>
        </w:rPr>
        <w:t>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Naziv Fondacije </w:t>
      </w:r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gramEnd"/>
      <w:r>
        <w:rPr>
          <w:rFonts w:asciiTheme="majorHAnsi" w:hAnsiTheme="majorHAnsi"/>
          <w:sz w:val="24"/>
          <w:szCs w:val="24"/>
        </w:rPr>
        <w:t xml:space="preserve"> engleskom jeziku je </w:t>
      </w:r>
      <w:r>
        <w:rPr>
          <w:rFonts w:asciiTheme="majorHAnsi" w:hAnsiTheme="majorHAnsi"/>
          <w:b/>
          <w:sz w:val="24"/>
          <w:szCs w:val="24"/>
        </w:rPr>
        <w:t>„SUPPORT LIFE FOUNDATION“</w:t>
      </w:r>
      <w:r>
        <w:rPr>
          <w:rFonts w:asciiTheme="majorHAnsi" w:hAnsiTheme="majorHAnsi"/>
          <w:sz w:val="24"/>
          <w:szCs w:val="24"/>
        </w:rPr>
        <w:t>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lastRenderedPageBreak/>
        <w:t>Fondacija ima sedište u Beogradu, u ulici Mitropolita Petra broj 15.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Fondacija svoju delatnost ostvaruje </w:t>
      </w:r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gramEnd"/>
      <w:r>
        <w:rPr>
          <w:rFonts w:asciiTheme="majorHAnsi" w:hAnsiTheme="majorHAnsi"/>
          <w:sz w:val="24"/>
          <w:szCs w:val="24"/>
        </w:rPr>
        <w:t xml:space="preserve"> teritoriji Republike Srbije.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4.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Ciljevi Fondacije su:</w:t>
      </w:r>
    </w:p>
    <w:p w:rsidR="003A1BB7" w:rsidRDefault="003A1BB7" w:rsidP="003A1BB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Unapređenje socijalne i zdravstvene zaštite dece u Srbiji kroz humanitarne aktivnosti,</w:t>
      </w:r>
    </w:p>
    <w:p w:rsidR="003A1BB7" w:rsidRDefault="003A1BB7" w:rsidP="003A1BB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Podrška oboleloj deci i njihovim porodicama u cilju lečenja i medicinskog zbrinjavanja i oporavka,</w:t>
      </w:r>
    </w:p>
    <w:p w:rsidR="003A1BB7" w:rsidRDefault="003A1BB7" w:rsidP="003A1BB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Promovisanje i unapređenje dečje zdravstvene zaštite.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5.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Ciljevi Fondacije </w:t>
      </w:r>
      <w:proofErr w:type="gramStart"/>
      <w:r>
        <w:rPr>
          <w:rFonts w:asciiTheme="majorHAnsi" w:hAnsiTheme="majorHAnsi"/>
          <w:sz w:val="24"/>
          <w:szCs w:val="24"/>
        </w:rPr>
        <w:t>će</w:t>
      </w:r>
      <w:proofErr w:type="gramEnd"/>
      <w:r>
        <w:rPr>
          <w:rFonts w:asciiTheme="majorHAnsi" w:hAnsiTheme="majorHAnsi"/>
          <w:sz w:val="24"/>
          <w:szCs w:val="24"/>
        </w:rPr>
        <w:t xml:space="preserve"> se ostvarivati:</w:t>
      </w:r>
    </w:p>
    <w:p w:rsidR="003A1BB7" w:rsidRDefault="003A1BB7" w:rsidP="003A1BB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Finansiranjem odgovarajućih projekata </w:t>
      </w:r>
      <w:proofErr w:type="gramStart"/>
      <w:r>
        <w:rPr>
          <w:rFonts w:asciiTheme="majorHAnsi" w:hAnsiTheme="majorHAnsi"/>
          <w:sz w:val="24"/>
          <w:szCs w:val="24"/>
        </w:rPr>
        <w:t>( pokriće</w:t>
      </w:r>
      <w:proofErr w:type="gramEnd"/>
      <w:r>
        <w:rPr>
          <w:rFonts w:asciiTheme="majorHAnsi" w:hAnsiTheme="majorHAnsi"/>
          <w:sz w:val="24"/>
          <w:szCs w:val="24"/>
        </w:rPr>
        <w:t xml:space="preserve"> troškova lečenja dece u zemlji i inostranstvu, kao i drugih projekata u oblastima unapređenja zdravstvene zaštite dece i sl.),</w:t>
      </w:r>
    </w:p>
    <w:p w:rsidR="003A1BB7" w:rsidRDefault="003A1BB7" w:rsidP="003A1BB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Podrška porodicama obolele dece:</w:t>
      </w:r>
    </w:p>
    <w:p w:rsidR="003A1BB7" w:rsidRDefault="003A1BB7" w:rsidP="003A1BB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Organizovanje i podsticanje humanitarnih akcija namenjenih prikupljanju finansijske i svake druge vrste pomoći i podrške za operacije i lečenje dece i ostvarivanja humanitarnih i društveno korisnih ciljevima u oblastima koje su u vezi </w:t>
      </w:r>
      <w:proofErr w:type="gramStart"/>
      <w:r>
        <w:rPr>
          <w:rFonts w:asciiTheme="majorHAnsi" w:hAnsiTheme="majorHAnsi"/>
          <w:sz w:val="24"/>
          <w:szCs w:val="24"/>
        </w:rPr>
        <w:t>sa</w:t>
      </w:r>
      <w:proofErr w:type="gramEnd"/>
      <w:r>
        <w:rPr>
          <w:rFonts w:asciiTheme="majorHAnsi" w:hAnsiTheme="majorHAnsi"/>
          <w:sz w:val="24"/>
          <w:szCs w:val="24"/>
        </w:rPr>
        <w:t xml:space="preserve"> navedenim projektima.</w:t>
      </w:r>
    </w:p>
    <w:p w:rsidR="003A1BB7" w:rsidRDefault="003A1BB7" w:rsidP="003A1B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Dodeljivanjem nagrada,</w:t>
      </w:r>
    </w:p>
    <w:p w:rsidR="003A1BB7" w:rsidRDefault="003A1BB7" w:rsidP="003A1B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Organizovanjem akcija radi prikupljanja finansijske i svake druge vrste pomoći,</w:t>
      </w:r>
    </w:p>
    <w:p w:rsidR="003A1BB7" w:rsidRDefault="003A1BB7" w:rsidP="003A1B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Organizovanjem stručne i profesionalne pomoći,</w:t>
      </w:r>
    </w:p>
    <w:p w:rsidR="003A1BB7" w:rsidRDefault="003A1BB7" w:rsidP="003A1B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Kao i </w:t>
      </w:r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gramEnd"/>
      <w:r>
        <w:rPr>
          <w:rFonts w:asciiTheme="majorHAnsi" w:hAnsiTheme="majorHAnsi"/>
          <w:sz w:val="24"/>
          <w:szCs w:val="24"/>
        </w:rPr>
        <w:t xml:space="preserve"> sve ostale nespomenute društveno prihvatljive načine.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6.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Fondacija ima svoj pečat i štambilj.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Pečat je okruglog oblika, uobičajene veličine, a u sredini pečata ispisan je velikim slovima sledeći tekst: </w:t>
      </w:r>
      <w:r>
        <w:rPr>
          <w:rFonts w:asciiTheme="majorHAnsi" w:hAnsiTheme="majorHAnsi"/>
          <w:b/>
          <w:sz w:val="24"/>
          <w:szCs w:val="24"/>
        </w:rPr>
        <w:t>ФОНДАЦИЈА ПОДРЖИ ЖИВОТ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 ispod toga reč:</w:t>
      </w:r>
      <w:r>
        <w:rPr>
          <w:rFonts w:asciiTheme="majorHAnsi" w:hAnsiTheme="majorHAnsi"/>
          <w:b/>
          <w:sz w:val="24"/>
          <w:szCs w:val="24"/>
        </w:rPr>
        <w:t xml:space="preserve"> Београд.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7.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Fondacija ima svoj štambilj koji je pravougaonog oblika i sadrži pun naziv Fondacije, kao i prostor za upisivanje broja predmeta i datum zavođenja odluke, odnosno akta u delovodni protokol.</w:t>
      </w:r>
      <w:proofErr w:type="gramEnd"/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8.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Pečat i štambilj Fondacije posebno se čuvaju i obezbeđuju </w:t>
      </w:r>
      <w:proofErr w:type="gramStart"/>
      <w:r>
        <w:rPr>
          <w:rFonts w:asciiTheme="majorHAnsi" w:hAnsiTheme="majorHAnsi"/>
          <w:sz w:val="24"/>
          <w:szCs w:val="24"/>
        </w:rPr>
        <w:t>od</w:t>
      </w:r>
      <w:proofErr w:type="gramEnd"/>
      <w:r>
        <w:rPr>
          <w:rFonts w:asciiTheme="majorHAnsi" w:hAnsiTheme="majorHAnsi"/>
          <w:sz w:val="24"/>
          <w:szCs w:val="24"/>
        </w:rPr>
        <w:t xml:space="preserve"> neovlašćenog korišćenja i zloupotreba.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Pečatom i štambiljem rukuje Upravitelj Fondacije </w:t>
      </w:r>
      <w:proofErr w:type="gramStart"/>
      <w:r>
        <w:rPr>
          <w:rFonts w:asciiTheme="majorHAnsi" w:hAnsiTheme="majorHAnsi"/>
          <w:sz w:val="24"/>
          <w:szCs w:val="24"/>
        </w:rPr>
        <w:t>ili</w:t>
      </w:r>
      <w:proofErr w:type="gramEnd"/>
      <w:r>
        <w:rPr>
          <w:rFonts w:asciiTheme="majorHAnsi" w:hAnsiTheme="majorHAnsi"/>
          <w:sz w:val="24"/>
          <w:szCs w:val="24"/>
        </w:rPr>
        <w:t xml:space="preserve"> lice koje on ovlasti.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lastRenderedPageBreak/>
        <w:t>Član 9.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Pečat i štambilj se koriste u pravnom prometu kao obeležja i dokaz o verodostojnosti legalnosti rada Fondacije.</w:t>
      </w:r>
      <w:proofErr w:type="gramEnd"/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10.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Fondacija može ustanoviti svoj amblem, znak </w:t>
      </w:r>
      <w:proofErr w:type="gramStart"/>
      <w:r>
        <w:rPr>
          <w:rFonts w:asciiTheme="majorHAnsi" w:hAnsiTheme="majorHAnsi"/>
          <w:sz w:val="24"/>
          <w:szCs w:val="24"/>
        </w:rPr>
        <w:t>ili</w:t>
      </w:r>
      <w:proofErr w:type="gramEnd"/>
      <w:r>
        <w:rPr>
          <w:rFonts w:asciiTheme="majorHAnsi" w:hAnsiTheme="majorHAnsi"/>
          <w:sz w:val="24"/>
          <w:szCs w:val="24"/>
        </w:rPr>
        <w:t xml:space="preserve"> logotip, čiji izgled se utvrđuje Odlukom osnivača,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11.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Fondacijom upravljaju osnivači preko organa utvrđenih ovim Statutom.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 Fondacije su:</w:t>
      </w:r>
    </w:p>
    <w:p w:rsidR="003A1BB7" w:rsidRPr="001C581C" w:rsidRDefault="003A1BB7" w:rsidP="003A1BB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Upravni odbor,</w:t>
      </w:r>
    </w:p>
    <w:p w:rsidR="003A1BB7" w:rsidRDefault="003A1BB7" w:rsidP="003A1BB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Upravitelj, kao zastupnik Fondacije,</w:t>
      </w:r>
    </w:p>
    <w:p w:rsidR="003A1BB7" w:rsidRDefault="003A1BB7" w:rsidP="003A1BB7">
      <w:pPr>
        <w:pStyle w:val="ListParagraph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12.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Fondacijom upravlja Upravni odbor.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Upravni odbor Fondacije ima 5 (pet) članova.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Predsednika i članove Upravnog odbora Fondacije imenuju osnivači.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Mandat članova Upravnog odbora traje četiri godine, </w:t>
      </w:r>
      <w:proofErr w:type="gramStart"/>
      <w:r>
        <w:rPr>
          <w:rFonts w:asciiTheme="majorHAnsi" w:hAnsiTheme="majorHAnsi"/>
          <w:sz w:val="24"/>
          <w:szCs w:val="24"/>
        </w:rPr>
        <w:t>sa</w:t>
      </w:r>
      <w:proofErr w:type="gramEnd"/>
      <w:r>
        <w:rPr>
          <w:rFonts w:asciiTheme="majorHAnsi" w:hAnsiTheme="majorHAnsi"/>
          <w:sz w:val="24"/>
          <w:szCs w:val="24"/>
        </w:rPr>
        <w:t xml:space="preserve"> mogućnošću reizbora.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13.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Sednice Upravnog odbora se održavaju prema potrebi.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Predsednik Upravnog odbora saziva sednice Upravnog odbora, pisanim obaveštenjem o mestu i vremenu održavanja sednice, utvrđuje dnevni red i predsedava sednicom Upravnog odbora.</w:t>
      </w:r>
      <w:proofErr w:type="gramEnd"/>
      <w:r>
        <w:rPr>
          <w:rFonts w:asciiTheme="majorHAnsi" w:hAnsiTheme="majorHAnsi"/>
          <w:sz w:val="24"/>
          <w:szCs w:val="24"/>
        </w:rPr>
        <w:t xml:space="preserve"> U dnevni red sednice, unosi se, po pravilu, usvajanje zapisnika </w:t>
      </w:r>
      <w:proofErr w:type="gramStart"/>
      <w:r>
        <w:rPr>
          <w:rFonts w:asciiTheme="majorHAnsi" w:hAnsiTheme="majorHAnsi"/>
          <w:sz w:val="24"/>
          <w:szCs w:val="24"/>
        </w:rPr>
        <w:t>sa</w:t>
      </w:r>
      <w:proofErr w:type="gramEnd"/>
      <w:r>
        <w:rPr>
          <w:rFonts w:asciiTheme="majorHAnsi" w:hAnsiTheme="majorHAnsi"/>
          <w:sz w:val="24"/>
          <w:szCs w:val="24"/>
        </w:rPr>
        <w:t xml:space="preserve"> prethodne sednice sa analizom izvršenja odluka i drugih akata sa prethodne sednice Upravnog odbora, o čemu izveštava predsednik Upravnog odbora.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 slučaju sprečenosti predsednika Upravnog odbora, zamenik predsednika </w:t>
      </w:r>
      <w:proofErr w:type="gramStart"/>
      <w:r>
        <w:rPr>
          <w:rFonts w:asciiTheme="majorHAnsi" w:hAnsiTheme="majorHAnsi"/>
          <w:sz w:val="24"/>
          <w:szCs w:val="24"/>
        </w:rPr>
        <w:t>ili</w:t>
      </w:r>
      <w:proofErr w:type="gramEnd"/>
      <w:r>
        <w:rPr>
          <w:rFonts w:asciiTheme="majorHAnsi" w:hAnsiTheme="majorHAnsi"/>
          <w:sz w:val="24"/>
          <w:szCs w:val="24"/>
        </w:rPr>
        <w:t xml:space="preserve"> član Upravnog odbora kog odredi Upravni odbor, saziva sednice Upravnog odbora i obavlja druga ovlašćenja predsednika Upravnog odbora.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14.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Pisani poziv za sednicu Upravnog odbora upućuje se svakom članu Upravnog odbora.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Poziv se dostavlja poštom </w:t>
      </w:r>
      <w:proofErr w:type="gramStart"/>
      <w:r>
        <w:rPr>
          <w:rFonts w:asciiTheme="majorHAnsi" w:hAnsiTheme="majorHAnsi"/>
          <w:sz w:val="24"/>
          <w:szCs w:val="24"/>
        </w:rPr>
        <w:t>ili</w:t>
      </w:r>
      <w:proofErr w:type="gramEnd"/>
      <w:r>
        <w:rPr>
          <w:rFonts w:asciiTheme="majorHAnsi" w:hAnsiTheme="majorHAnsi"/>
          <w:sz w:val="24"/>
          <w:szCs w:val="24"/>
        </w:rPr>
        <w:t xml:space="preserve"> elektronskom poštom, svakom članu Upravnog odbora, uz naznačenje vremena i mesta održavanja sednice, predloga dnevnog reda sednice, sa </w:t>
      </w:r>
      <w:r>
        <w:rPr>
          <w:rFonts w:asciiTheme="majorHAnsi" w:hAnsiTheme="majorHAnsi"/>
          <w:sz w:val="24"/>
          <w:szCs w:val="24"/>
        </w:rPr>
        <w:lastRenderedPageBreak/>
        <w:t>naznakom pitanja o kojima se glasa i dostavljanje predloga odluka o kojima se odlučuje na toj sednici i ostalog materijala prema potrebi.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Predsednik Upravnog odbora otvara sednicu Upravnog odbora i vrši proveru ispunjenosti uslova za održavanje sednice, </w:t>
      </w:r>
      <w:proofErr w:type="gramStart"/>
      <w:r>
        <w:rPr>
          <w:rFonts w:asciiTheme="majorHAnsi" w:hAnsiTheme="majorHAnsi"/>
          <w:sz w:val="24"/>
          <w:szCs w:val="24"/>
        </w:rPr>
        <w:t>te</w:t>
      </w:r>
      <w:proofErr w:type="gramEnd"/>
      <w:r>
        <w:rPr>
          <w:rFonts w:asciiTheme="majorHAnsi" w:hAnsiTheme="majorHAnsi"/>
          <w:sz w:val="24"/>
          <w:szCs w:val="24"/>
        </w:rPr>
        <w:t xml:space="preserve"> predlaže zapisničara.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15.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 punovažno odlučivanje u Upravnom odboru mora biti prisutno više </w:t>
      </w:r>
      <w:proofErr w:type="gramStart"/>
      <w:r>
        <w:rPr>
          <w:rFonts w:asciiTheme="majorHAnsi" w:hAnsiTheme="majorHAnsi"/>
          <w:sz w:val="24"/>
          <w:szCs w:val="24"/>
        </w:rPr>
        <w:t>od</w:t>
      </w:r>
      <w:proofErr w:type="gramEnd"/>
      <w:r>
        <w:rPr>
          <w:rFonts w:asciiTheme="majorHAnsi" w:hAnsiTheme="majorHAnsi"/>
          <w:sz w:val="24"/>
          <w:szCs w:val="24"/>
        </w:rPr>
        <w:t xml:space="preserve"> polovine od ukupnog broja članova Upravnog odbora.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Posle konstatacije predsednika Upravnog odbora da postoji kvorum i da Upravni odbor može punovažno da radi i odlučuje, pristupa se usvajanju predloženog dnevnog reda.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Utvrđeni dnevni red se može menjati u izuzetnim slučajevima.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Predlagač je dužan da obrazloži predlog za izmenu i dopunu dnevnog reda.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Nakon usvajanja dnevnog reda, prelazi se </w:t>
      </w:r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gramEnd"/>
      <w:r>
        <w:rPr>
          <w:rFonts w:asciiTheme="majorHAnsi" w:hAnsiTheme="majorHAnsi"/>
          <w:sz w:val="24"/>
          <w:szCs w:val="24"/>
        </w:rPr>
        <w:t xml:space="preserve"> razmatranje pitanja po tačkama dnevnog reda.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Ako su dva </w:t>
      </w:r>
      <w:proofErr w:type="gramStart"/>
      <w:r>
        <w:rPr>
          <w:rFonts w:asciiTheme="majorHAnsi" w:hAnsiTheme="majorHAnsi"/>
          <w:sz w:val="24"/>
          <w:szCs w:val="24"/>
        </w:rPr>
        <w:t>ili</w:t>
      </w:r>
      <w:proofErr w:type="gramEnd"/>
      <w:r>
        <w:rPr>
          <w:rFonts w:asciiTheme="majorHAnsi" w:hAnsiTheme="majorHAnsi"/>
          <w:sz w:val="24"/>
          <w:szCs w:val="24"/>
        </w:rPr>
        <w:t xml:space="preserve"> više pitanja iz dnevnog reda međusobno povezana, Upravni odbor može odlučiti da se ova pitanja razmatraju istovremeno.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 prelaska </w:t>
      </w:r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gramEnd"/>
      <w:r>
        <w:rPr>
          <w:rFonts w:asciiTheme="majorHAnsi" w:hAnsiTheme="majorHAnsi"/>
          <w:sz w:val="24"/>
          <w:szCs w:val="24"/>
        </w:rPr>
        <w:t xml:space="preserve"> raspravljanje po pojedinim tačkama dnevnog reda, određeni izvestilac podnosi kraći izveštaj, odnosno obrazloženje o pitanju koje treba razmotriti i doneti odgovarajuću odluku.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Nakon završetka izlaganja izvestioca, predsednik Upravnog odbora poziva učesnike sednice da se jave za reč.</w:t>
      </w:r>
      <w:proofErr w:type="gramEnd"/>
      <w:r>
        <w:rPr>
          <w:rFonts w:asciiTheme="majorHAnsi" w:hAnsiTheme="majorHAnsi"/>
          <w:sz w:val="24"/>
          <w:szCs w:val="24"/>
        </w:rPr>
        <w:t xml:space="preserve"> O svakom pitanju se diskutuje dok ima prijavljenih učesnika u diskusiji.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Učesnik koji dobije reč, mora se pridržavati predmeta raspravljanja i može govoriti samo po pitanju koje je </w:t>
      </w:r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gramEnd"/>
      <w:r>
        <w:rPr>
          <w:rFonts w:asciiTheme="majorHAnsi" w:hAnsiTheme="majorHAnsi"/>
          <w:sz w:val="24"/>
          <w:szCs w:val="24"/>
        </w:rPr>
        <w:t xml:space="preserve"> dnevnom redu.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Upravni odbor može </w:t>
      </w:r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gramEnd"/>
      <w:r>
        <w:rPr>
          <w:rFonts w:asciiTheme="majorHAnsi" w:hAnsiTheme="majorHAnsi"/>
          <w:sz w:val="24"/>
          <w:szCs w:val="24"/>
        </w:rPr>
        <w:t xml:space="preserve"> predlog predsednika ili člana, odlučiti da se raspravljanje o pojedinim pitanjima prekine i skine sa dnevnog reda, ako je radi donošenja odluke pridobiti nove i dodatne podatke ili informacije.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Skinuto pitanje </w:t>
      </w:r>
      <w:proofErr w:type="gramStart"/>
      <w:r>
        <w:rPr>
          <w:rFonts w:asciiTheme="majorHAnsi" w:hAnsiTheme="majorHAnsi"/>
          <w:sz w:val="24"/>
          <w:szCs w:val="24"/>
        </w:rPr>
        <w:t>sa</w:t>
      </w:r>
      <w:proofErr w:type="gramEnd"/>
      <w:r>
        <w:rPr>
          <w:rFonts w:asciiTheme="majorHAnsi" w:hAnsiTheme="majorHAnsi"/>
          <w:sz w:val="24"/>
          <w:szCs w:val="24"/>
        </w:rPr>
        <w:t xml:space="preserve"> dnevnog reda, uvršćuje se u dnevni red za narednu sednicu Upravnog odbora.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16.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Odluke se donose glasanjem i to većinom glasova </w:t>
      </w:r>
      <w:proofErr w:type="gramStart"/>
      <w:r>
        <w:rPr>
          <w:rFonts w:asciiTheme="majorHAnsi" w:hAnsiTheme="majorHAnsi"/>
          <w:sz w:val="24"/>
          <w:szCs w:val="24"/>
        </w:rPr>
        <w:t>od</w:t>
      </w:r>
      <w:proofErr w:type="gramEnd"/>
      <w:r>
        <w:rPr>
          <w:rFonts w:asciiTheme="majorHAnsi" w:hAnsiTheme="majorHAnsi"/>
          <w:sz w:val="24"/>
          <w:szCs w:val="24"/>
        </w:rPr>
        <w:t xml:space="preserve"> ukupnog broja članova Upravnog odbora, izuev ako za pojedine odluke nije drugačije predviđeno ovim Statutom.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Ukoliko sednici Upravnog odbora ne prisustvuje potrebna većina članova, kako je to predviđeno ovim Statutom, sednica se odlaže i zakazuje u roku </w:t>
      </w:r>
      <w:proofErr w:type="gramStart"/>
      <w:r>
        <w:rPr>
          <w:rFonts w:asciiTheme="majorHAnsi" w:hAnsiTheme="majorHAnsi"/>
          <w:sz w:val="24"/>
          <w:szCs w:val="24"/>
        </w:rPr>
        <w:t>od</w:t>
      </w:r>
      <w:proofErr w:type="gramEnd"/>
      <w:r>
        <w:rPr>
          <w:rFonts w:asciiTheme="majorHAnsi" w:hAnsiTheme="majorHAnsi"/>
          <w:sz w:val="24"/>
          <w:szCs w:val="24"/>
        </w:rPr>
        <w:t xml:space="preserve"> narednih osam dana.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Predsednik Upravnog odbora može zakazati elektronsku sednicu Upravnog odbora, tako što </w:t>
      </w:r>
      <w:proofErr w:type="gramStart"/>
      <w:r>
        <w:rPr>
          <w:rFonts w:asciiTheme="majorHAnsi" w:hAnsiTheme="majorHAnsi"/>
          <w:sz w:val="24"/>
          <w:szCs w:val="24"/>
        </w:rPr>
        <w:t>će</w:t>
      </w:r>
      <w:proofErr w:type="gramEnd"/>
      <w:r>
        <w:rPr>
          <w:rFonts w:asciiTheme="majorHAnsi" w:hAnsiTheme="majorHAnsi"/>
          <w:sz w:val="24"/>
          <w:szCs w:val="24"/>
        </w:rPr>
        <w:t xml:space="preserve"> se poziv sa predloženim dnevni redom i neophodnim materijalima za odlučivanje upućivati članovima Upravnog odmora elektronskim putem, a oni će se po tačkama </w:t>
      </w:r>
      <w:r>
        <w:rPr>
          <w:rFonts w:asciiTheme="majorHAnsi" w:hAnsiTheme="majorHAnsi"/>
          <w:sz w:val="24"/>
          <w:szCs w:val="24"/>
        </w:rPr>
        <w:lastRenderedPageBreak/>
        <w:t xml:space="preserve">dnevnog reda izjašnjavati elektronskim putem. Odgovori, u vidu glasa po svim tačkama dnevnog reda </w:t>
      </w:r>
      <w:proofErr w:type="gramStart"/>
      <w:r>
        <w:rPr>
          <w:rFonts w:asciiTheme="majorHAnsi" w:hAnsiTheme="majorHAnsi"/>
          <w:sz w:val="24"/>
          <w:szCs w:val="24"/>
        </w:rPr>
        <w:t>će</w:t>
      </w:r>
      <w:proofErr w:type="gramEnd"/>
      <w:r>
        <w:rPr>
          <w:rFonts w:asciiTheme="majorHAnsi" w:hAnsiTheme="majorHAnsi"/>
          <w:sz w:val="24"/>
          <w:szCs w:val="24"/>
        </w:rPr>
        <w:t xml:space="preserve"> činiti sastavni seo zapisnika, koji će se o elektronskoj sednici sačinjavati.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Odluke Upravnog odbora moraju biti formulisane kratko i jasno, tako da ne bude nikakvog dvoumljenja u pogledu toga šta je odlučeno i kakva je odluka doneta.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Donete odluke se unose u zapisnik o radu Upravnog odbora.</w:t>
      </w:r>
      <w:proofErr w:type="gramEnd"/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17.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Sednica Upravnog odbora se prekida:</w:t>
      </w:r>
    </w:p>
    <w:p w:rsidR="003A1BB7" w:rsidRDefault="003A1BB7" w:rsidP="003A1BB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Kad se u toku sednice broj prisutnih članova smanji tako da ne postoji kvorum za održavanje sednice,</w:t>
      </w:r>
    </w:p>
    <w:p w:rsidR="003A1BB7" w:rsidRDefault="003A1BB7" w:rsidP="003A1BB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Kad se sednica zbog dugog trajanja ne može završiti istog </w:t>
      </w:r>
      <w:proofErr w:type="gramStart"/>
      <w:r>
        <w:rPr>
          <w:rFonts w:asciiTheme="majorHAnsi" w:hAnsiTheme="majorHAnsi"/>
          <w:sz w:val="24"/>
          <w:szCs w:val="24"/>
        </w:rPr>
        <w:t>dana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3A1BB7" w:rsidRDefault="003A1BB7" w:rsidP="003A1BB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Sednica se može prekinuti radi odmora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Sednicu prekida predsednik Upravnog odbora.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Prekinuta sednica se nastavlja najkasnije u roku </w:t>
      </w:r>
      <w:proofErr w:type="gramStart"/>
      <w:r>
        <w:rPr>
          <w:rFonts w:asciiTheme="majorHAnsi" w:hAnsiTheme="majorHAnsi"/>
          <w:sz w:val="24"/>
          <w:szCs w:val="24"/>
        </w:rPr>
        <w:t>od</w:t>
      </w:r>
      <w:proofErr w:type="gramEnd"/>
      <w:r>
        <w:rPr>
          <w:rFonts w:asciiTheme="majorHAnsi" w:hAnsiTheme="majorHAnsi"/>
          <w:sz w:val="24"/>
          <w:szCs w:val="24"/>
        </w:rPr>
        <w:t xml:space="preserve"> 8 dana od dana prekida.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Nastavak sednice zakazuje predsednik Upravnog odbora.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Članovi Upravnog odbora koji nisu prisustvovali prekinutoj sednici, obaveštavaju se o njenom nastavku pisanim putem.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Zaključivanje sednice Upravnog odbora vrši se po završenom raspravljanju i odlučivanju o svim pitanjima iz utvrđenog dnevnog reda.</w:t>
      </w:r>
      <w:proofErr w:type="gramEnd"/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18.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Upravni odbor odlučuje o sledećim pitanjima:</w:t>
      </w:r>
    </w:p>
    <w:p w:rsidR="003A1BB7" w:rsidRDefault="003A1BB7" w:rsidP="003A1B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Donosi finansijski plan i završni račun,</w:t>
      </w:r>
    </w:p>
    <w:p w:rsidR="003A1BB7" w:rsidRDefault="003A1BB7" w:rsidP="003A1B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Odlučuje o načinu korišćenja imovine Fondacije,</w:t>
      </w:r>
    </w:p>
    <w:p w:rsidR="003A1BB7" w:rsidRDefault="003A1BB7" w:rsidP="003A1B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Odlučuje o promenama ciljeva Fondacije,</w:t>
      </w:r>
    </w:p>
    <w:p w:rsidR="003A1BB7" w:rsidRDefault="003A1BB7" w:rsidP="003A1B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Donosi poslovnik o svom radu i druge akte kojima se uređuje rad Fondacije,</w:t>
      </w:r>
    </w:p>
    <w:p w:rsidR="003A1BB7" w:rsidRDefault="003A1BB7" w:rsidP="003A1B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Osniva radna tela, Komisije ukoliko nađe da je potrebno, radi realizacije svojih nadležnosti,</w:t>
      </w:r>
    </w:p>
    <w:p w:rsidR="003A1BB7" w:rsidRDefault="003A1BB7" w:rsidP="003A1B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Obavlja druge poslove i odlučuje o drugim pitanjima utvrđenim Zakonom, Osnivačkim aktom i Statutom.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19.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toku sednice Upravnog odbora vodi se zapisnik.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Zapisnik potpisuje predsednik Upravnog odbora i zapisničar.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Zapisnik se overava pečatom Fondacije.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Sastavni deo zapisnika čine materijali i dokumentacija koja se odnosi </w:t>
      </w:r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gramEnd"/>
      <w:r>
        <w:rPr>
          <w:rFonts w:asciiTheme="majorHAnsi" w:hAnsiTheme="majorHAnsi"/>
          <w:sz w:val="24"/>
          <w:szCs w:val="24"/>
        </w:rPr>
        <w:t xml:space="preserve"> pitanja o kojima se raspravljalo i odlučivalo na sednici.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Zapisnik o radu </w:t>
      </w:r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gramEnd"/>
      <w:r>
        <w:rPr>
          <w:rFonts w:asciiTheme="majorHAnsi" w:hAnsiTheme="majorHAnsi"/>
          <w:sz w:val="24"/>
          <w:szCs w:val="24"/>
        </w:rPr>
        <w:t xml:space="preserve"> sednici Upravnog odbora se čuva u arhivi Fondacije.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20.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Član Upravnog odbora zadužbine osnovane radi ostvarivanja opštekorisnog cilja i fondacije ne može odlučivati o imovinskim pitanjima u kojima se on, njegov bračni drug ili vanbračni drug ili srodnik po krvi u pravoj liniji, a u pobočnoj do trećeg stepena, srodnik po tazbini do drugog stepena, bez obzira da li je brak prestao ili nije pojavljuje se kao zainteresovano lice, niti o imovinskim pitanjima koja se odnose na pravno lice nad kojim on ima kontrolni uticaj ili u kojem ima ekonomski interes.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21.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Osnivači imenuju i razrešavaju upravitelja Fondacije.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Upravitelj zastupa Fondaciju u pravnom prometu bez ograničenja.</w:t>
      </w:r>
      <w:proofErr w:type="gramEnd"/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22.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Upravitelj Fondacije obavlja sledeće poslove:</w:t>
      </w:r>
    </w:p>
    <w:p w:rsidR="003A1BB7" w:rsidRDefault="003A1BB7" w:rsidP="003A1BB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Zastupa i predstavlja Fondaciju,</w:t>
      </w:r>
    </w:p>
    <w:p w:rsidR="003A1BB7" w:rsidRDefault="003A1BB7" w:rsidP="003A1BB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Odgovara za zakonitost rada Fondacije,</w:t>
      </w:r>
    </w:p>
    <w:p w:rsidR="003A1BB7" w:rsidRDefault="003A1BB7" w:rsidP="003A1BB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Vodi poslove Fondacije, saglasno odlukama Upravnog odbora,</w:t>
      </w:r>
    </w:p>
    <w:p w:rsidR="003A1BB7" w:rsidRDefault="003A1BB7" w:rsidP="003A1BB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Podnosi Upravnom odboru predlog finansijskog plana i završnog računa,</w:t>
      </w:r>
    </w:p>
    <w:p w:rsidR="003A1BB7" w:rsidRDefault="003A1BB7" w:rsidP="003A1BB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Donosi finansijske odluke,</w:t>
      </w:r>
    </w:p>
    <w:p w:rsidR="003A1BB7" w:rsidRDefault="003A1BB7" w:rsidP="003A1BB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Nadzire rad administrativne službe i odlučuje o pitanjima iz oblasti rada i radnih odnosa,</w:t>
      </w:r>
    </w:p>
    <w:p w:rsidR="003A1BB7" w:rsidRDefault="003A1BB7" w:rsidP="003A1BB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Odlučuje o drugim pitanjima za koja nisu, zakonom </w:t>
      </w:r>
      <w:proofErr w:type="gramStart"/>
      <w:r>
        <w:rPr>
          <w:rFonts w:asciiTheme="majorHAnsi" w:hAnsiTheme="majorHAnsi"/>
          <w:sz w:val="24"/>
          <w:szCs w:val="24"/>
        </w:rPr>
        <w:t>ili</w:t>
      </w:r>
      <w:proofErr w:type="gramEnd"/>
      <w:r>
        <w:rPr>
          <w:rFonts w:asciiTheme="majorHAnsi" w:hAnsiTheme="majorHAnsi"/>
          <w:sz w:val="24"/>
          <w:szCs w:val="24"/>
        </w:rPr>
        <w:t xml:space="preserve"> Statutom ovlašćeni drugi organi Fondacije.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23.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Za obaveze preuzete u pravnom prometu, Fondacija odgovara celokupnom svojom imovinom.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Imovinu Fondacije čine materijalna sredstva, novčana sredstva, prava intelektualne svojine i druga potrebna sredstva pribavljena u skladu </w:t>
      </w:r>
      <w:proofErr w:type="gramStart"/>
      <w:r>
        <w:rPr>
          <w:rFonts w:asciiTheme="majorHAnsi" w:hAnsiTheme="majorHAnsi"/>
          <w:sz w:val="24"/>
          <w:szCs w:val="24"/>
        </w:rPr>
        <w:t>sa</w:t>
      </w:r>
      <w:proofErr w:type="gramEnd"/>
      <w:r>
        <w:rPr>
          <w:rFonts w:asciiTheme="majorHAnsi" w:hAnsiTheme="majorHAnsi"/>
          <w:sz w:val="24"/>
          <w:szCs w:val="24"/>
        </w:rPr>
        <w:t xml:space="preserve"> pozitivnopravnim propisima.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Imovina Fondacije može se koristiti jedino za ostvarenje njegovih ciljeva utvrđenih aktom o osnivanju i ovim Statutom, kao i za davanje primerenih nagrada i naknada opravdanih troškova nastalih u vezi </w:t>
      </w:r>
      <w:proofErr w:type="gramStart"/>
      <w:r>
        <w:rPr>
          <w:rFonts w:asciiTheme="majorHAnsi" w:hAnsiTheme="majorHAnsi"/>
          <w:sz w:val="24"/>
          <w:szCs w:val="24"/>
        </w:rPr>
        <w:t>sa</w:t>
      </w:r>
      <w:proofErr w:type="gramEnd"/>
      <w:r>
        <w:rPr>
          <w:rFonts w:asciiTheme="majorHAnsi" w:hAnsiTheme="majorHAnsi"/>
          <w:sz w:val="24"/>
          <w:szCs w:val="24"/>
        </w:rPr>
        <w:t xml:space="preserve"> ostvarenjem ciljeva Fondacije (putni troškovi, dnevnice, troškovi prenoćišta i sl.), za ugovorene teretne obaveze i isplatu zarada zaposlenima.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lastRenderedPageBreak/>
        <w:t>Član 24.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Fondacija, u skladu </w:t>
      </w:r>
      <w:proofErr w:type="gramStart"/>
      <w:r>
        <w:rPr>
          <w:rFonts w:asciiTheme="majorHAnsi" w:hAnsiTheme="majorHAnsi"/>
          <w:sz w:val="24"/>
          <w:szCs w:val="24"/>
        </w:rPr>
        <w:t>sa</w:t>
      </w:r>
      <w:proofErr w:type="gramEnd"/>
      <w:r>
        <w:rPr>
          <w:rFonts w:asciiTheme="majorHAnsi" w:hAnsiTheme="majorHAnsi"/>
          <w:sz w:val="24"/>
          <w:szCs w:val="24"/>
        </w:rPr>
        <w:t xml:space="preserve"> Zakonom, pribavlja sredstva za obavljanje svojih aktivnosti i ostvarivanje svojih ciljeva iz sledećih izvora:</w:t>
      </w:r>
    </w:p>
    <w:p w:rsidR="003A1BB7" w:rsidRDefault="003A1BB7" w:rsidP="003A1BB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Dobrovoljnih priloga,</w:t>
      </w:r>
    </w:p>
    <w:p w:rsidR="003A1BB7" w:rsidRDefault="003A1BB7" w:rsidP="003A1BB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Poklona (u novcu i naturi),</w:t>
      </w:r>
    </w:p>
    <w:p w:rsidR="003A1BB7" w:rsidRDefault="003A1BB7" w:rsidP="003A1BB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Donacija,</w:t>
      </w:r>
    </w:p>
    <w:p w:rsidR="003A1BB7" w:rsidRDefault="003A1BB7" w:rsidP="003A1BB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Finansijskih subvencija,</w:t>
      </w:r>
    </w:p>
    <w:p w:rsidR="003A1BB7" w:rsidRDefault="003A1BB7" w:rsidP="003A1BB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Zaostavština,</w:t>
      </w:r>
    </w:p>
    <w:p w:rsidR="003A1BB7" w:rsidRDefault="003A1BB7" w:rsidP="003A1BB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Kamata na uloge,</w:t>
      </w:r>
    </w:p>
    <w:p w:rsidR="003A1BB7" w:rsidRDefault="003A1BB7" w:rsidP="003A1BB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Zakupnina,</w:t>
      </w:r>
    </w:p>
    <w:p w:rsidR="003A1BB7" w:rsidRDefault="003A1BB7" w:rsidP="003A1BB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Autorskih prava,</w:t>
      </w:r>
    </w:p>
    <w:p w:rsidR="003A1BB7" w:rsidRDefault="003A1BB7" w:rsidP="003A1BB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Dividendi,</w:t>
      </w:r>
    </w:p>
    <w:p w:rsidR="003A1BB7" w:rsidRDefault="003A1BB7" w:rsidP="003A1BB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Drugih prihoda ostvarenih </w:t>
      </w:r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gramEnd"/>
      <w:r>
        <w:rPr>
          <w:rFonts w:asciiTheme="majorHAnsi" w:hAnsiTheme="majorHAnsi"/>
          <w:sz w:val="24"/>
          <w:szCs w:val="24"/>
        </w:rPr>
        <w:t xml:space="preserve"> zakonit i dozvoljen način.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25.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Fondacija može otvoriti tekući račun kod poslovne banke.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 zakonito korišćenje sredstava Fondacije, odgovoran je upravitelj Fondacije, kao naredbodavac, </w:t>
      </w:r>
      <w:proofErr w:type="gramStart"/>
      <w:r>
        <w:rPr>
          <w:rFonts w:asciiTheme="majorHAnsi" w:hAnsiTheme="majorHAnsi"/>
          <w:sz w:val="24"/>
          <w:szCs w:val="24"/>
        </w:rPr>
        <w:t>ili</w:t>
      </w:r>
      <w:proofErr w:type="gramEnd"/>
      <w:r>
        <w:rPr>
          <w:rFonts w:asciiTheme="majorHAnsi" w:hAnsiTheme="majorHAnsi"/>
          <w:sz w:val="24"/>
          <w:szCs w:val="24"/>
        </w:rPr>
        <w:t xml:space="preserve"> lice koje posebnom odlukom ovlasti upravitelj Fondacije.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26.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Fondacija stiče prihode i neposrednim obavljanjem privredne delatnosti, u skladu </w:t>
      </w:r>
      <w:proofErr w:type="gramStart"/>
      <w:r>
        <w:rPr>
          <w:rFonts w:asciiTheme="majorHAnsi" w:hAnsiTheme="majorHAnsi"/>
          <w:sz w:val="24"/>
          <w:szCs w:val="24"/>
        </w:rPr>
        <w:t>sa</w:t>
      </w:r>
      <w:proofErr w:type="gramEnd"/>
      <w:r>
        <w:rPr>
          <w:rFonts w:asciiTheme="majorHAnsi" w:hAnsiTheme="majorHAnsi"/>
          <w:sz w:val="24"/>
          <w:szCs w:val="24"/>
        </w:rPr>
        <w:t xml:space="preserve"> članom 45. Zakona o zadužbinama i fondacijama i to: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9002 – Druge umetničke delatnosti u okviru izvođačke umetnosti.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27.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Rad Fondacije je javan.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Javnost rada Fondacije obezbeđuje se </w:t>
      </w:r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gramEnd"/>
      <w:r>
        <w:rPr>
          <w:rFonts w:asciiTheme="majorHAnsi" w:hAnsiTheme="majorHAnsi"/>
          <w:sz w:val="24"/>
          <w:szCs w:val="24"/>
        </w:rPr>
        <w:t xml:space="preserve"> sledeći način: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Informisanjem i objavljivanjem godišnjih izveštaja o radu, putem interneta, publikacija </w:t>
      </w:r>
      <w:proofErr w:type="gramStart"/>
      <w:r>
        <w:rPr>
          <w:rFonts w:asciiTheme="majorHAnsi" w:hAnsiTheme="majorHAnsi"/>
          <w:sz w:val="24"/>
          <w:szCs w:val="24"/>
        </w:rPr>
        <w:t>ili  na</w:t>
      </w:r>
      <w:proofErr w:type="gramEnd"/>
      <w:r>
        <w:rPr>
          <w:rFonts w:asciiTheme="majorHAnsi" w:hAnsiTheme="majorHAnsi"/>
          <w:sz w:val="24"/>
          <w:szCs w:val="24"/>
        </w:rPr>
        <w:t xml:space="preserve"> drugi primeren način.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Fondacija je obavezna da godišnji finansijski izveštaj dostavi Agenciji za privredne registre, u skladu </w:t>
      </w:r>
      <w:proofErr w:type="gramStart"/>
      <w:r>
        <w:rPr>
          <w:rFonts w:asciiTheme="majorHAnsi" w:hAnsiTheme="majorHAnsi"/>
          <w:sz w:val="24"/>
          <w:szCs w:val="24"/>
        </w:rPr>
        <w:t>sa</w:t>
      </w:r>
      <w:proofErr w:type="gramEnd"/>
      <w:r>
        <w:rPr>
          <w:rFonts w:asciiTheme="majorHAnsi" w:hAnsiTheme="majorHAnsi"/>
          <w:sz w:val="24"/>
          <w:szCs w:val="24"/>
        </w:rPr>
        <w:t xml:space="preserve"> Zakonom koji uređuje računovodstvo i reviziju.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28.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 svrhu informisanja javnosti o radu Fondacije, </w:t>
      </w:r>
      <w:proofErr w:type="gramStart"/>
      <w:r>
        <w:rPr>
          <w:rFonts w:asciiTheme="majorHAnsi" w:hAnsiTheme="majorHAnsi"/>
          <w:sz w:val="24"/>
          <w:szCs w:val="24"/>
        </w:rPr>
        <w:t>te</w:t>
      </w:r>
      <w:proofErr w:type="gramEnd"/>
      <w:r>
        <w:rPr>
          <w:rFonts w:asciiTheme="majorHAnsi" w:hAnsiTheme="majorHAnsi"/>
          <w:sz w:val="24"/>
          <w:szCs w:val="24"/>
        </w:rPr>
        <w:t xml:space="preserve"> sticanju i raspolaganju sredstvima, Fondacija može preduzimati odgovarajuće aktivnosti putem pisanih i elektronskih medija, objavljenim na web sajtu Fondacije, organizovanjem konferencija za štampu, objavljivanjem saopštenja, organizovanjem tribina i javnih nastupa, učestvovanjem u specijalizovanim skupovima, kao i objavljivanjem stručnih publikacija i časopisa.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Predstavnik Fondacije, koji u javnost iznosi podatke i informacije u vezi </w:t>
      </w:r>
      <w:proofErr w:type="gramStart"/>
      <w:r>
        <w:rPr>
          <w:rFonts w:asciiTheme="majorHAnsi" w:hAnsiTheme="majorHAnsi"/>
          <w:sz w:val="24"/>
          <w:szCs w:val="24"/>
        </w:rPr>
        <w:t>sa</w:t>
      </w:r>
      <w:proofErr w:type="gramEnd"/>
      <w:r>
        <w:rPr>
          <w:rFonts w:asciiTheme="majorHAnsi" w:hAnsiTheme="majorHAnsi"/>
          <w:sz w:val="24"/>
          <w:szCs w:val="24"/>
        </w:rPr>
        <w:t xml:space="preserve"> radom Fondacije je odgovoran za njihovu tačnost.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29.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Radi obavljanja stručnih, finansijskih i administrativnih poslova, upravitelj Fondacije može obrazovati stručnu službu </w:t>
      </w:r>
      <w:proofErr w:type="gramStart"/>
      <w:r>
        <w:rPr>
          <w:rFonts w:asciiTheme="majorHAnsi" w:hAnsiTheme="majorHAnsi"/>
          <w:sz w:val="24"/>
          <w:szCs w:val="24"/>
        </w:rPr>
        <w:t>ili</w:t>
      </w:r>
      <w:proofErr w:type="gramEnd"/>
      <w:r>
        <w:rPr>
          <w:rFonts w:asciiTheme="majorHAnsi" w:hAnsiTheme="majorHAnsi"/>
          <w:sz w:val="24"/>
          <w:szCs w:val="24"/>
        </w:rPr>
        <w:t xml:space="preserve"> obavljanje ovih poslova poveriti stručnom licu ili organizaciji van Fondacije.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poveravanju poslova iz stava 1. </w:t>
      </w:r>
      <w:proofErr w:type="gramStart"/>
      <w:r>
        <w:rPr>
          <w:rFonts w:asciiTheme="majorHAnsi" w:hAnsiTheme="majorHAnsi"/>
          <w:sz w:val="24"/>
          <w:szCs w:val="24"/>
        </w:rPr>
        <w:t>ovog</w:t>
      </w:r>
      <w:proofErr w:type="gramEnd"/>
      <w:r>
        <w:rPr>
          <w:rFonts w:asciiTheme="majorHAnsi" w:hAnsiTheme="majorHAnsi"/>
          <w:sz w:val="24"/>
          <w:szCs w:val="24"/>
        </w:rPr>
        <w:t xml:space="preserve"> člana, zaključuje se ugovor. O svim pitanjima vezanim za rad i radni odnos zaposlenih u stručnoj službi Fondacije, odlučuje upravitelj Fondacije.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30.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Statut je najviši opšti akt Fondacije.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Drugi opšti akti Fondacije moraju biti u saglasnosti </w:t>
      </w:r>
      <w:proofErr w:type="gramStart"/>
      <w:r>
        <w:rPr>
          <w:rFonts w:asciiTheme="majorHAnsi" w:hAnsiTheme="majorHAnsi"/>
          <w:sz w:val="24"/>
          <w:szCs w:val="24"/>
        </w:rPr>
        <w:t>sa</w:t>
      </w:r>
      <w:proofErr w:type="gramEnd"/>
      <w:r>
        <w:rPr>
          <w:rFonts w:asciiTheme="majorHAnsi" w:hAnsiTheme="majorHAnsi"/>
          <w:sz w:val="24"/>
          <w:szCs w:val="24"/>
        </w:rPr>
        <w:t xml:space="preserve"> Statutom.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 drugim aktima Fondacije podrazumevaju se pravilnici i odluke, kao i opšti akti.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31.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Opšti akti se menjaju </w:t>
      </w:r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gramEnd"/>
      <w:r>
        <w:rPr>
          <w:rFonts w:asciiTheme="majorHAnsi" w:hAnsiTheme="majorHAnsi"/>
          <w:sz w:val="24"/>
          <w:szCs w:val="24"/>
        </w:rPr>
        <w:t xml:space="preserve"> način i po postupku koji važe za njihovo donošenje.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Opšti akti stupaju </w:t>
      </w:r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gramEnd"/>
      <w:r>
        <w:rPr>
          <w:rFonts w:asciiTheme="majorHAnsi" w:hAnsiTheme="majorHAnsi"/>
          <w:sz w:val="24"/>
          <w:szCs w:val="24"/>
        </w:rPr>
        <w:t xml:space="preserve"> snagu osmog dana od dana njihovog objavljivanja.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Inicijativu za izmene i dopune Statuta mogu dati:</w:t>
      </w:r>
    </w:p>
    <w:p w:rsidR="003A1BB7" w:rsidRDefault="003A1BB7" w:rsidP="003A1BB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Upravitelj Fondacije</w:t>
      </w:r>
    </w:p>
    <w:p w:rsidR="003A1BB7" w:rsidRDefault="003A1BB7" w:rsidP="003A1BB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Članovi Upravnog odbora Fondacije.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Inicijativa se dostavlja predsedniku Upravnog odbora, koji saziva sednicu Upravnog odbora, </w:t>
      </w:r>
      <w:proofErr w:type="gramStart"/>
      <w:r>
        <w:rPr>
          <w:rFonts w:asciiTheme="majorHAnsi" w:hAnsiTheme="majorHAnsi"/>
          <w:sz w:val="24"/>
          <w:szCs w:val="24"/>
        </w:rPr>
        <w:t>sa</w:t>
      </w:r>
      <w:proofErr w:type="gramEnd"/>
      <w:r>
        <w:rPr>
          <w:rFonts w:asciiTheme="majorHAnsi" w:hAnsiTheme="majorHAnsi"/>
          <w:sz w:val="24"/>
          <w:szCs w:val="24"/>
        </w:rPr>
        <w:t xml:space="preserve"> predlogom izmena i dopuna statute radi odlučivanja o prihvatanju predloženih izmena, potom mišljenje o predlogu dostavlja osnivačima na usvajanje.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32.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Fondacija prestaje </w:t>
      </w:r>
      <w:proofErr w:type="gramStart"/>
      <w:r>
        <w:rPr>
          <w:rFonts w:asciiTheme="majorHAnsi" w:hAnsiTheme="majorHAnsi"/>
          <w:sz w:val="24"/>
          <w:szCs w:val="24"/>
        </w:rPr>
        <w:t>sa</w:t>
      </w:r>
      <w:proofErr w:type="gramEnd"/>
      <w:r>
        <w:rPr>
          <w:rFonts w:asciiTheme="majorHAnsi" w:hAnsiTheme="majorHAnsi"/>
          <w:sz w:val="24"/>
          <w:szCs w:val="24"/>
        </w:rPr>
        <w:t xml:space="preserve"> radom kada prestanu uslovi za ostvarivanje ciljeva Fondacije, kao i u drugim slučajevima predviđenim Zakonom, a naročito u sledećim slučajevima:</w:t>
      </w:r>
    </w:p>
    <w:p w:rsidR="003A1BB7" w:rsidRDefault="003A1BB7" w:rsidP="003A1BB7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Ako je nadležni organ Fondacije doneo odluku o prestanku rada Fondacije,</w:t>
      </w:r>
    </w:p>
    <w:p w:rsidR="003A1BB7" w:rsidRDefault="003A1BB7" w:rsidP="003A1BB7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Ako je Fondaciji oduzeto odobrenje za delovanje,</w:t>
      </w:r>
    </w:p>
    <w:p w:rsidR="003A1BB7" w:rsidRDefault="003A1BB7" w:rsidP="003A1BB7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Ako je nad Fondacijom okončan postupak stečaja,</w:t>
      </w:r>
    </w:p>
    <w:p w:rsidR="003A1BB7" w:rsidRDefault="003A1BB7" w:rsidP="003A1BB7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Ako je izvršena statusna promena koja, u skladu sa Zakonom, ima za posledicu prestanak rada Fondacije,</w:t>
      </w:r>
    </w:p>
    <w:p w:rsidR="003A1BB7" w:rsidRDefault="003A1BB7" w:rsidP="003A1BB7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Ako je pravnosnažnim aktom utvrđena ništavost rešenja o upisu Fondacije u registar,</w:t>
      </w:r>
    </w:p>
    <w:p w:rsidR="003A1BB7" w:rsidRDefault="003A1BB7" w:rsidP="003A1BB7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 drugim slučajevima predviđenim Zakonom.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lastRenderedPageBreak/>
        <w:t>Član 33.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prestanku rada Fondacije odluku donose osnivači dvotrećinskom većinom svih osnivača.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34.</w:t>
      </w:r>
      <w:proofErr w:type="gramEnd"/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 slučaju prestanka rada Fondacije, imovina Fondacije koja preostane nakon izmirenja svih zakonskih obaveza, preneće se </w:t>
      </w:r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gramEnd"/>
      <w:r>
        <w:rPr>
          <w:rFonts w:asciiTheme="majorHAnsi" w:hAnsiTheme="majorHAnsi"/>
          <w:sz w:val="24"/>
          <w:szCs w:val="24"/>
        </w:rPr>
        <w:t xml:space="preserve"> drugu domaću nedobitnu organizaciju, fondaciju ili udruženje osnovanom radi ostvarivanja istih ili sličnih opštekorisnih ciljeva.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Odluku o raspodeli preostale imovine Fondacije donose osnivači.</w:t>
      </w:r>
      <w:proofErr w:type="gramEnd"/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35.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Fondacija se može podeliti </w:t>
      </w:r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gramEnd"/>
      <w:r>
        <w:rPr>
          <w:rFonts w:asciiTheme="majorHAnsi" w:hAnsiTheme="majorHAnsi"/>
          <w:sz w:val="24"/>
          <w:szCs w:val="24"/>
        </w:rPr>
        <w:t xml:space="preserve"> dve ili više fondacija. Fondacija se, takođe može pripojiti </w:t>
      </w:r>
      <w:proofErr w:type="gramStart"/>
      <w:r>
        <w:rPr>
          <w:rFonts w:asciiTheme="majorHAnsi" w:hAnsiTheme="majorHAnsi"/>
          <w:sz w:val="24"/>
          <w:szCs w:val="24"/>
        </w:rPr>
        <w:t>ili</w:t>
      </w:r>
      <w:proofErr w:type="gramEnd"/>
      <w:r>
        <w:rPr>
          <w:rFonts w:asciiTheme="majorHAnsi" w:hAnsiTheme="majorHAnsi"/>
          <w:sz w:val="24"/>
          <w:szCs w:val="24"/>
        </w:rPr>
        <w:t xml:space="preserve"> spojiti sa drugom fondacijom ili zadužbinom radi ostvarivanja opštekorisnog cilja.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Odluku o statusnim promenama iz stava 1.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ovog</w:t>
      </w:r>
      <w:proofErr w:type="gramEnd"/>
      <w:r>
        <w:rPr>
          <w:rFonts w:asciiTheme="majorHAnsi" w:hAnsiTheme="majorHAnsi"/>
          <w:sz w:val="24"/>
          <w:szCs w:val="24"/>
        </w:rPr>
        <w:t xml:space="preserve"> člana donosi Upravni odbor, saglasnošću svih članova.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36.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 sva pitanja koja nisu regulisana ovim Statutom neposredno </w:t>
      </w:r>
      <w:proofErr w:type="gramStart"/>
      <w:r>
        <w:rPr>
          <w:rFonts w:asciiTheme="majorHAnsi" w:hAnsiTheme="majorHAnsi"/>
          <w:sz w:val="24"/>
          <w:szCs w:val="24"/>
        </w:rPr>
        <w:t>će</w:t>
      </w:r>
      <w:proofErr w:type="gramEnd"/>
      <w:r>
        <w:rPr>
          <w:rFonts w:asciiTheme="majorHAnsi" w:hAnsiTheme="majorHAnsi"/>
          <w:sz w:val="24"/>
          <w:szCs w:val="24"/>
        </w:rPr>
        <w:t xml:space="preserve"> se primenjivati odredbe Zakona o zadužbinama i fondacijama.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37.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Statut Fondacije stupa </w:t>
      </w:r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gramEnd"/>
      <w:r>
        <w:rPr>
          <w:rFonts w:asciiTheme="majorHAnsi" w:hAnsiTheme="majorHAnsi"/>
          <w:sz w:val="24"/>
          <w:szCs w:val="24"/>
        </w:rPr>
        <w:t xml:space="preserve"> snagu osmog dana od dana donošenja.</w:t>
      </w:r>
    </w:p>
    <w:p w:rsidR="003A1BB7" w:rsidRDefault="003A1BB7" w:rsidP="003A1BB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Član 38.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Ovaj Statut je sačinjen u 5 (pet) istovetnih primeraka.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Beograd, </w:t>
      </w:r>
      <w:proofErr w:type="gramStart"/>
      <w:r>
        <w:rPr>
          <w:rFonts w:asciiTheme="majorHAnsi" w:hAnsiTheme="majorHAnsi"/>
          <w:sz w:val="24"/>
          <w:szCs w:val="24"/>
        </w:rPr>
        <w:t>dana</w:t>
      </w:r>
      <w:proofErr w:type="gramEnd"/>
      <w:r>
        <w:rPr>
          <w:rFonts w:asciiTheme="majorHAnsi" w:hAnsiTheme="majorHAnsi"/>
          <w:sz w:val="24"/>
          <w:szCs w:val="24"/>
        </w:rPr>
        <w:t xml:space="preserve"> 04.05.2016. </w:t>
      </w:r>
      <w:proofErr w:type="gramStart"/>
      <w:r>
        <w:rPr>
          <w:rFonts w:asciiTheme="majorHAnsi" w:hAnsiTheme="majorHAnsi"/>
          <w:sz w:val="24"/>
          <w:szCs w:val="24"/>
        </w:rPr>
        <w:t>godine</w:t>
      </w:r>
      <w:proofErr w:type="gramEnd"/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A1BB7" w:rsidRDefault="003A1BB7" w:rsidP="003A1BB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OSNIVAČ</w:t>
      </w:r>
    </w:p>
    <w:p w:rsid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A1BB7">
        <w:rPr>
          <w:rFonts w:asciiTheme="majorHAnsi" w:hAnsiTheme="majorHAnsi"/>
          <w:sz w:val="24"/>
          <w:szCs w:val="24"/>
        </w:rPr>
        <w:t xml:space="preserve">____________________________________                                      </w:t>
      </w:r>
    </w:p>
    <w:p w:rsidR="003A1BB7" w:rsidRPr="003A1BB7" w:rsidRDefault="003A1BB7" w:rsidP="003A1BB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A1BB7">
        <w:rPr>
          <w:rFonts w:asciiTheme="majorHAnsi" w:hAnsiTheme="majorHAnsi"/>
          <w:sz w:val="24"/>
          <w:szCs w:val="24"/>
        </w:rPr>
        <w:t>Verica Šegan</w:t>
      </w:r>
    </w:p>
    <w:p w:rsidR="003A1BB7" w:rsidRPr="000218C6" w:rsidRDefault="003A1BB7" w:rsidP="003A1BB7">
      <w:pPr>
        <w:jc w:val="center"/>
        <w:rPr>
          <w:rFonts w:asciiTheme="majorHAnsi" w:hAnsiTheme="majorHAnsi"/>
          <w:b/>
          <w:sz w:val="24"/>
          <w:szCs w:val="24"/>
        </w:rPr>
      </w:pPr>
    </w:p>
    <w:p w:rsidR="003A1BB7" w:rsidRPr="00732EC0" w:rsidRDefault="003A1BB7" w:rsidP="003A1BB7">
      <w:pPr>
        <w:jc w:val="both"/>
        <w:rPr>
          <w:rFonts w:asciiTheme="majorHAnsi" w:hAnsiTheme="majorHAnsi"/>
          <w:sz w:val="24"/>
          <w:szCs w:val="24"/>
        </w:rPr>
      </w:pPr>
    </w:p>
    <w:p w:rsidR="006D7126" w:rsidRDefault="006D7126"/>
    <w:sectPr w:rsidR="006D71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6E4"/>
    <w:multiLevelType w:val="hybridMultilevel"/>
    <w:tmpl w:val="C990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7066"/>
    <w:multiLevelType w:val="hybridMultilevel"/>
    <w:tmpl w:val="8BAA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53D29"/>
    <w:multiLevelType w:val="hybridMultilevel"/>
    <w:tmpl w:val="F7B8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43EF0"/>
    <w:multiLevelType w:val="hybridMultilevel"/>
    <w:tmpl w:val="97F6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418A"/>
    <w:multiLevelType w:val="hybridMultilevel"/>
    <w:tmpl w:val="0B4A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F0D8D"/>
    <w:multiLevelType w:val="hybridMultilevel"/>
    <w:tmpl w:val="0456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70AB6"/>
    <w:multiLevelType w:val="hybridMultilevel"/>
    <w:tmpl w:val="1540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139D"/>
    <w:multiLevelType w:val="hybridMultilevel"/>
    <w:tmpl w:val="5B2C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F1D0E"/>
    <w:multiLevelType w:val="hybridMultilevel"/>
    <w:tmpl w:val="0DD2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442E2"/>
    <w:multiLevelType w:val="hybridMultilevel"/>
    <w:tmpl w:val="AF48EA36"/>
    <w:lvl w:ilvl="0" w:tplc="D3CE2A6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5E289D"/>
    <w:multiLevelType w:val="hybridMultilevel"/>
    <w:tmpl w:val="81B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418B3"/>
    <w:multiLevelType w:val="hybridMultilevel"/>
    <w:tmpl w:val="7E56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F39C1"/>
    <w:multiLevelType w:val="hybridMultilevel"/>
    <w:tmpl w:val="F30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9647B"/>
    <w:multiLevelType w:val="hybridMultilevel"/>
    <w:tmpl w:val="0880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3A1BB7"/>
    <w:rsid w:val="003A1BB7"/>
    <w:rsid w:val="006D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2272</Words>
  <Characters>12955</Characters>
  <Application>Microsoft Office Word</Application>
  <DocSecurity>0</DocSecurity>
  <Lines>107</Lines>
  <Paragraphs>30</Paragraphs>
  <ScaleCrop>false</ScaleCrop>
  <Company/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PODRZI ZIVOT</dc:creator>
  <cp:keywords/>
  <dc:description/>
  <cp:lastModifiedBy>PODRZI ZIVOT</cp:lastModifiedBy>
  <cp:revision>2</cp:revision>
  <dcterms:created xsi:type="dcterms:W3CDTF">2016-05-10T08:09:00Z</dcterms:created>
  <dcterms:modified xsi:type="dcterms:W3CDTF">2016-05-10T08:17:00Z</dcterms:modified>
</cp:coreProperties>
</file>